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D0" w:rsidRPr="00C05926" w:rsidRDefault="00C05926">
      <w:pPr>
        <w:rPr>
          <w:b/>
          <w:sz w:val="24"/>
          <w:szCs w:val="24"/>
        </w:rPr>
      </w:pPr>
      <w:bookmarkStart w:id="0" w:name="_GoBack"/>
      <w:bookmarkEnd w:id="0"/>
      <w:r w:rsidRPr="00C05926">
        <w:rPr>
          <w:b/>
          <w:sz w:val="24"/>
          <w:szCs w:val="24"/>
        </w:rPr>
        <w:t xml:space="preserve">Informacja o osiągniętych w Gminie Chotcza poziomach recyklingu, przygotowania do ponownego użycia i odzysku innymi metodami oraz ograniczenia masy odpadów komunalnych ulegających biodegradacji przekazywanych do składowania za 2016 r. </w:t>
      </w:r>
    </w:p>
    <w:p w:rsidR="00C05926" w:rsidRPr="00C05926" w:rsidRDefault="00C05926" w:rsidP="00C0592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05926">
        <w:rPr>
          <w:sz w:val="24"/>
          <w:szCs w:val="24"/>
        </w:rPr>
        <w:t>Osiągnięty poziom recyklingu, przygotowania do ponownego użycia następujących frakcji odpadów komunalnych: papieru, metali, tworzyw sztucznych i szkła wynosi – 20,25%.</w:t>
      </w:r>
    </w:p>
    <w:p w:rsidR="00C05926" w:rsidRPr="00C05926" w:rsidRDefault="00C05926" w:rsidP="00C0592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05926">
        <w:rPr>
          <w:sz w:val="24"/>
          <w:szCs w:val="24"/>
        </w:rPr>
        <w:t>Osiągnięty poziom recyklingu, przygotowania do ponownego użycia i odzysku innymi metodami innych niż niebezpieczne odpadów budowlanych i rozbiórkowych – „nie ustalono”.</w:t>
      </w:r>
    </w:p>
    <w:p w:rsidR="00C05926" w:rsidRPr="00C05926" w:rsidRDefault="00C05926" w:rsidP="00C0592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05926">
        <w:rPr>
          <w:sz w:val="24"/>
          <w:szCs w:val="24"/>
        </w:rPr>
        <w:t xml:space="preserve">Poziom ograniczenia masy odpadów komunalnych ulegających biodegradacji przekazanych do składowania w 2016 roku wyniósł - </w:t>
      </w:r>
      <w:r w:rsidRPr="00C05926">
        <w:rPr>
          <w:b/>
          <w:sz w:val="24"/>
          <w:szCs w:val="24"/>
        </w:rPr>
        <w:t>0</w:t>
      </w:r>
      <w:r w:rsidRPr="00C05926">
        <w:rPr>
          <w:sz w:val="24"/>
          <w:szCs w:val="24"/>
        </w:rPr>
        <w:t xml:space="preserve"> - zgodnie z informacją przekazaną przez RADKOM. </w:t>
      </w:r>
    </w:p>
    <w:sectPr w:rsidR="00C05926" w:rsidRPr="00C0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A40B9"/>
    <w:multiLevelType w:val="hybridMultilevel"/>
    <w:tmpl w:val="C4E8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26"/>
    <w:rsid w:val="001B5FDC"/>
    <w:rsid w:val="004038D0"/>
    <w:rsid w:val="00C05926"/>
    <w:rsid w:val="00E6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2EBED-7D5D-4FEB-BA04-DF2C8194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2017-08-21T07:32:00Z</cp:lastPrinted>
  <dcterms:created xsi:type="dcterms:W3CDTF">2017-11-29T08:57:00Z</dcterms:created>
  <dcterms:modified xsi:type="dcterms:W3CDTF">2017-11-29T08:57:00Z</dcterms:modified>
</cp:coreProperties>
</file>